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Шановна адміністрація</w:t>
      </w:r>
      <w:r>
        <w:rPr>
          <w:sz w:val="40"/>
          <w:szCs w:val="40"/>
          <w:rtl w:val="0"/>
          <w:lang w:val="en-US"/>
        </w:rPr>
        <w:t>!</w:t>
      </w:r>
      <w:r>
        <w:rPr>
          <w:sz w:val="40"/>
          <w:szCs w:val="40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450850</wp:posOffset>
            </wp:positionH>
            <wp:positionV relativeFrom="line">
              <wp:posOffset>450925</wp:posOffset>
            </wp:positionV>
            <wp:extent cx="2968980" cy="1947649"/>
            <wp:effectExtent l="0" t="0" r="0" b="0"/>
            <wp:wrapSquare wrapText="bothSides" distL="152400" distR="152400" distT="152400" distB="152400"/>
            <wp:docPr id="1073741825" name="officeArt object" descr="logo-ua-500-optimiz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ua-500-optimized.png" descr="logo-ua-500-optimiz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980" cy="1947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Запрошуємо учнів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класів і їхніх вчителів взяти участь у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Міжнародних дистанційних освітніх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2025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Весняна сесія»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березня відбудуться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конкурсів з таких предметів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українська мова і література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англійська мова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інформатика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біологія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природознавство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Мета конкурсів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підвищення мотивації учнів до навчання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 не олімпіада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є завдання різної складності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тому в них можуть брати участь всі учні без винятку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Завдання конкурсів відповідають українським навчальним програмам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Ознайомитися з прикладами завдань можна в демонстраційній версії конкурсів на сайті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"http://www.brainring.com.ua"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www.brainring.com.ua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sz w:val="26"/>
          <w:szCs w:val="26"/>
          <w:lang w:val="ru-RU"/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сі учасники конкурсів отримають іменні електронні дипломи та грамоти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Куратори конкурсів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зареєструють учнів і оплатять їхню участь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отримають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електронний сертифікат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організатора конкурсів та грошову компенсацію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від суми внесків за участь у вигляді знижки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Вчителі учасників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які отримають дипломи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ступенів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отримають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електронні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відоцтва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підтверджують ці досягнення учнів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5" cy="1800877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5" cy="1800877"/>
                          <a:chOff x="0" y="0"/>
                          <a:chExt cx="7155824" cy="1800876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2"/>
                            <a:ext cx="1733564" cy="7155826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6" y="105413"/>
                            <a:ext cx="7026287" cy="16954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Просимо Вас поінформувати про конкурси учнів і вчителів такими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Вивісити одне оголошення на дошці оголошень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Вивісити друге оголошення в учительській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Опублікувати інформацію про конкурси на сайті школи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Якщо школа користується ел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щоденником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поінформувати вчителів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учнів і батьків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24,1800877">
                <w10:wrap type="square" side="bothSides" anchorx="page"/>
                <v:rect id="_x0000_s1027" style="position:absolute;left:2711132;top:-2711131;width:1733563;height:715582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6;top:105413;width:7026286;height:169546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Просимо Вас поінформувати про конкурси учнів і вчителів такими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Вивісити одне оголошення на дошці оголошень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Вивісити друге оголошення в учительській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Опублікувати інформацію про конкурси на сайті школи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Якщо школа користується ел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щоденником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поінформувати вчителів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учнів і батьків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Конкурси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відбуватимуться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березня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сайті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"http://www.brainring.com.ua"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www.brainring.com.ua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Брати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участь можна в будь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який зручний час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337317</wp:posOffset>
                </wp:positionV>
                <wp:extent cx="7155816" cy="650255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6" cy="650255"/>
                          <a:chOff x="0" y="-1"/>
                          <a:chExt cx="7155815" cy="650254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324618" y="-3324619"/>
                            <a:ext cx="506581" cy="7155816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5713" y="1"/>
                            <a:ext cx="7064387" cy="65025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Конкурси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Брейн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дистанційні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учні можуть брати участь у них не тільки в школі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й вдома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тому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дистанційне навчання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— не перешкода для участі в 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3pt;margin-top:26.6pt;width:563.5pt;height:51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16,650254">
                <w10:wrap type="square" side="bothSides" anchorx="page"/>
                <v:rect id="_x0000_s1030" style="position:absolute;left:3324619;top:-3324619;width:506580;height:7155816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13;top:1;width:7064386;height:6502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Конкурси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Брейн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дистанційні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учні можуть брати участь у них не тільки в школі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й вдома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тому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дистанційне навчання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— не перешкода для участі в 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Під час конкурсів буде працювати служба підтримки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"mailto:info@brainring.com.ua"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info@brainring.com.ua</w:t>
      </w:r>
      <w:r>
        <w:rPr/>
        <w:fldChar w:fldCharType="end" w:fldLock="0"/>
      </w:r>
    </w:p>
    <w:p>
      <w:pPr>
        <w:pStyle w:val="Įprastasis"/>
        <w:spacing w:after="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  <w:rtl w:val="0"/>
          <w:lang w:val="en-US"/>
        </w:rPr>
        <w:t xml:space="preserve">Загальна вартість участі одного учня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від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 xml:space="preserve">5 </w:t>
      </w:r>
      <w:r>
        <w:rPr>
          <w:rStyle w:val="None"/>
          <w:sz w:val="26"/>
          <w:szCs w:val="26"/>
          <w:rtl w:val="0"/>
          <w:lang w:val="en-US"/>
        </w:rPr>
        <w:t>конкурсів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30"/>
          <w:szCs w:val="30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10</w:t>
      </w:r>
      <w:r>
        <w:rPr>
          <w:rStyle w:val="None"/>
          <w:b w:val="1"/>
          <w:bCs w:val="1"/>
          <w:outline w:val="0"/>
          <w:color w:val="00ac3b"/>
          <w:sz w:val="30"/>
          <w:szCs w:val="30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30"/>
          <w:szCs w:val="30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грн</w:t>
      </w:r>
      <w:r>
        <w:rPr>
          <w:rStyle w:val="None"/>
          <w:b w:val="1"/>
          <w:bCs w:val="1"/>
          <w:outline w:val="0"/>
          <w:color w:val="00ac3b"/>
          <w:sz w:val="30"/>
          <w:szCs w:val="30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  <w:r>
        <w:rPr>
          <w:rStyle w:val="None"/>
          <w:sz w:val="30"/>
          <w:szCs w:val="30"/>
          <w:lang w:val="en-US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4" cy="2044818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4" cy="2044818"/>
                          <a:chOff x="0" y="-1"/>
                          <a:chExt cx="6858013" cy="2044817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600"/>
                            <a:ext cx="2044818" cy="685801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6"/>
                            <a:ext cx="6733865" cy="178708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Переваги конкурсів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Брейн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Внесок учасника дає можливість брати участь не в одному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 усіх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5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Всі учасники отримають іменні грамоти і дипломи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потрібно вводити відповіді учнів або надсилати їх поштою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Куратори отримають сертифікати і компенсацію у вигляді знижки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вчителі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предметники – свідоцтва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4,2044817">
                <w10:wrap type="square" side="bothSides" anchorx="page" anchory="page"/>
                <v:rect id="_x0000_s1033" style="position:absolute;left:2406598;top:-2406600;width:2044817;height:685801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4;top:128866;width:6733863;height:17870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Переваги конкурсів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Брейн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Внесок учасника дає можливість брати участь не в одному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 усіх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5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Всі учасники отримають іменні грамоти і дипломи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потрібно вводити відповіді учнів або надсилати їх поштою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Куратори отримають сертифікати і компенсацію у вигляді знижки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вчителі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предметники – свідоцтва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  <w:sz w:val="30"/>
          <w:szCs w:val="30"/>
          <w:lang w:val="en-US"/>
        </w:rPr>
        <w:br w:type="textWrapping"/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Компенсація для кураторів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Щоб компенсувати витрати часу кураторів на організацію конкурсів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від суми внесків за участь використовується як компенсація для кураторів у вигляді знижки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Розмір компенсації залежить від кількості учнів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зареєстровані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чим більше учнів зареєструє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тим більший відсоток компенсації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466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3"/>
        <w:gridCol w:w="5923"/>
      </w:tblGrid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Кількість учнів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Розмір компенсації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і більше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756" w:hanging="756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Розмір компенсації вираховується автоматично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рахунку на оплату сума вказується з урахуванням компенсації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 повагою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рганізатори освітніх конкурсів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пошта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"mailto:info@brainring.com.ua"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info@brainring.com.ua</w:t>
      </w:r>
      <w:r>
        <w:rPr/>
        <w:fldChar w:fldCharType="end" w:fldLock="0"/>
      </w:r>
    </w:p>
    <w:p>
      <w:pPr>
        <w:pStyle w:val="Įprastasis"/>
        <w:spacing w:after="12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Докладна інформація про конкурси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"http://www.brainring.com.ua"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